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040712">
              <w:rPr>
                <w:b/>
                <w:highlight w:val="yellow"/>
              </w:rPr>
              <w:t>Started</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512156">
              <w:rPr>
                <w:b/>
                <w:highlight w:val="yellow"/>
              </w:rPr>
              <w:t>Started</w:t>
            </w:r>
            <w:r w:rsidR="000043DA" w:rsidRPr="000043DA">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040712" w:rsidP="009B2A2D">
            <w:pPr>
              <w:jc w:val="center"/>
              <w:rPr>
                <w:b/>
              </w:rPr>
            </w:pPr>
            <w:r>
              <w:rPr>
                <w:b/>
                <w:highlight w:val="yellow"/>
              </w:rPr>
              <w:t>*Started</w:t>
            </w:r>
            <w:r w:rsidR="00300C38" w:rsidRPr="00300C38">
              <w:rPr>
                <w:b/>
                <w:highlight w:val="yellow"/>
              </w:rPr>
              <w:t xml:space="preserve"> Jan 10</w:t>
            </w:r>
            <w:r w:rsidR="00300C38" w:rsidRPr="00300C38">
              <w:rPr>
                <w:b/>
                <w:highlight w:val="yellow"/>
                <w:vertAlign w:val="superscript"/>
              </w:rPr>
              <w:t>th</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512156">
              <w:rPr>
                <w:b/>
                <w:highlight w:val="yellow"/>
              </w:rPr>
              <w:t>Started</w:t>
            </w:r>
            <w:r w:rsidR="00840704" w:rsidRPr="00840704">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00FF7669">
              <w:rPr>
                <w:b/>
                <w:highlight w:val="yellow"/>
              </w:rPr>
              <w:t>Started</w:t>
            </w:r>
            <w:r w:rsidRPr="00105136">
              <w:rPr>
                <w:b/>
                <w:highlight w:val="yellow"/>
              </w:rPr>
              <w:t xml:space="preserve">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w:t>
            </w:r>
            <w:r w:rsidR="00351EF8">
              <w:rPr>
                <w:b/>
                <w:highlight w:val="yellow"/>
              </w:rPr>
              <w:t>Started</w:t>
            </w:r>
            <w:r w:rsidRPr="0019292C">
              <w:rPr>
                <w:b/>
                <w:highlight w:val="yellow"/>
              </w:rPr>
              <w:t xml:space="preserve">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040712" w:rsidP="00662BE7">
            <w:pPr>
              <w:jc w:val="center"/>
              <w:rPr>
                <w:b/>
              </w:rPr>
            </w:pPr>
            <w:r>
              <w:rPr>
                <w:b/>
                <w:highlight w:val="yellow"/>
              </w:rPr>
              <w:t>*Started</w:t>
            </w:r>
            <w:r w:rsidR="00CA0A2C" w:rsidRPr="00CA0A2C">
              <w:rPr>
                <w:b/>
                <w:highlight w:val="yellow"/>
              </w:rPr>
              <w:t xml:space="preserve"> </w:t>
            </w:r>
            <w:r w:rsidR="00C453B1" w:rsidRPr="00C453B1">
              <w:rPr>
                <w:b/>
                <w:highlight w:val="yellow"/>
              </w:rPr>
              <w:t>Jan 11</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FF7669" w:rsidP="00524032">
            <w:pPr>
              <w:jc w:val="center"/>
            </w:pPr>
            <w:r>
              <w:rPr>
                <w:b/>
                <w:highlight w:val="yellow"/>
              </w:rPr>
              <w:t>*Started</w:t>
            </w:r>
            <w:r w:rsidR="00524032" w:rsidRPr="001258EF">
              <w:rPr>
                <w:b/>
                <w:highlight w:val="yellow"/>
              </w:rPr>
              <w:t xml:space="preserve"> Jan 8</w:t>
            </w:r>
            <w:r w:rsidR="00524032"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FF7669">
              <w:rPr>
                <w:b/>
                <w:highlight w:val="yellow"/>
              </w:rPr>
              <w:t>Started</w:t>
            </w:r>
            <w:r w:rsidR="00300C38" w:rsidRPr="00300C38">
              <w:rPr>
                <w:b/>
                <w:highlight w:val="yellow"/>
              </w:rPr>
              <w:t xml:space="preserve">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040712">
              <w:rPr>
                <w:b/>
                <w:shd w:val="clear" w:color="auto" w:fill="FFFF00"/>
              </w:rPr>
              <w:t>ed</w:t>
            </w:r>
            <w:r w:rsidR="0019292C">
              <w:rPr>
                <w:b/>
                <w:shd w:val="clear" w:color="auto" w:fill="FFFF00"/>
              </w:rPr>
              <w:t xml:space="preserve">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83BDA"/>
    <w:rsid w:val="00485F48"/>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B72F8"/>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2018-01-12T16:04:00Z</cp:lastPrinted>
  <dcterms:created xsi:type="dcterms:W3CDTF">2018-01-23T14:59:00Z</dcterms:created>
  <dcterms:modified xsi:type="dcterms:W3CDTF">2018-01-23T14:59:00Z</dcterms:modified>
</cp:coreProperties>
</file>